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B" w:rsidRPr="00763DCB" w:rsidRDefault="00905B41" w:rsidP="00CC04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3046C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</w:p>
    <w:p w:rsidR="003046CA" w:rsidRDefault="003046CA" w:rsidP="00CC045B">
      <w:pPr>
        <w:pStyle w:val="31"/>
        <w:jc w:val="center"/>
        <w:outlineLvl w:val="0"/>
        <w:rPr>
          <w:sz w:val="28"/>
          <w:szCs w:val="28"/>
        </w:rPr>
      </w:pPr>
    </w:p>
    <w:p w:rsidR="00A6057C" w:rsidRDefault="00883E2F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CC045B" w:rsidRDefault="00A6057C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CC045B">
        <w:rPr>
          <w:sz w:val="28"/>
          <w:szCs w:val="28"/>
        </w:rPr>
        <w:t>ДМИНИСТРАЦИЯ</w:t>
      </w:r>
      <w:r w:rsidR="00CC045B" w:rsidRPr="002F199C">
        <w:rPr>
          <w:sz w:val="28"/>
          <w:szCs w:val="28"/>
        </w:rPr>
        <w:t xml:space="preserve"> </w:t>
      </w:r>
      <w:r w:rsidR="00487177">
        <w:rPr>
          <w:sz w:val="28"/>
          <w:szCs w:val="28"/>
        </w:rPr>
        <w:t>МАНЗЕНСКОГО</w:t>
      </w:r>
      <w:r w:rsidR="00883E2F">
        <w:rPr>
          <w:sz w:val="28"/>
          <w:szCs w:val="28"/>
        </w:rPr>
        <w:t xml:space="preserve"> СЕЛЬСОВЕТА</w:t>
      </w:r>
    </w:p>
    <w:p w:rsidR="00883E2F" w:rsidRDefault="00883E2F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883E2F" w:rsidRDefault="00883E2F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83E2F" w:rsidRPr="002F199C" w:rsidRDefault="00883E2F" w:rsidP="00CC045B">
      <w:pPr>
        <w:pStyle w:val="31"/>
        <w:jc w:val="center"/>
        <w:outlineLvl w:val="0"/>
        <w:rPr>
          <w:sz w:val="28"/>
          <w:szCs w:val="28"/>
        </w:rPr>
      </w:pPr>
    </w:p>
    <w:p w:rsidR="00CC045B" w:rsidRPr="008812AC" w:rsidRDefault="00CC045B" w:rsidP="00CC045B">
      <w:pPr>
        <w:jc w:val="center"/>
        <w:outlineLvl w:val="0"/>
      </w:pPr>
      <w:r w:rsidRPr="008812AC">
        <w:t>ПОСТАНОВЛЕНИЕ</w:t>
      </w:r>
    </w:p>
    <w:p w:rsidR="00CC045B" w:rsidRPr="008812AC" w:rsidRDefault="00CC045B" w:rsidP="00CC045B">
      <w:pPr>
        <w:jc w:val="center"/>
      </w:pPr>
    </w:p>
    <w:p w:rsidR="00CC045B" w:rsidRDefault="00CC045B" w:rsidP="00CC045B"/>
    <w:tbl>
      <w:tblPr>
        <w:tblW w:w="0" w:type="auto"/>
        <w:tblLook w:val="0000"/>
      </w:tblPr>
      <w:tblGrid>
        <w:gridCol w:w="3186"/>
        <w:gridCol w:w="3209"/>
        <w:gridCol w:w="3176"/>
      </w:tblGrid>
      <w:tr w:rsidR="00CC045B" w:rsidTr="00CC045B">
        <w:tc>
          <w:tcPr>
            <w:tcW w:w="3186" w:type="dxa"/>
          </w:tcPr>
          <w:p w:rsidR="00CC045B" w:rsidRDefault="00CC045B" w:rsidP="0072026C">
            <w:r>
              <w:t xml:space="preserve">              20</w:t>
            </w:r>
            <w:r w:rsidR="0072026C">
              <w:t>23</w:t>
            </w:r>
          </w:p>
        </w:tc>
        <w:tc>
          <w:tcPr>
            <w:tcW w:w="3209" w:type="dxa"/>
          </w:tcPr>
          <w:p w:rsidR="00CC045B" w:rsidRDefault="00883E2F" w:rsidP="00526291">
            <w:pPr>
              <w:jc w:val="center"/>
            </w:pPr>
            <w:proofErr w:type="spellStart"/>
            <w:r>
              <w:t>п</w:t>
            </w:r>
            <w:proofErr w:type="gramStart"/>
            <w:r>
              <w:t>.</w:t>
            </w:r>
            <w:r w:rsidR="00487177">
              <w:t>М</w:t>
            </w:r>
            <w:proofErr w:type="gramEnd"/>
            <w:r w:rsidR="00487177">
              <w:t>анзя</w:t>
            </w:r>
            <w:proofErr w:type="spellEnd"/>
          </w:p>
        </w:tc>
        <w:tc>
          <w:tcPr>
            <w:tcW w:w="3176" w:type="dxa"/>
          </w:tcPr>
          <w:p w:rsidR="00CC045B" w:rsidRDefault="00CC045B" w:rsidP="00526291">
            <w:pPr>
              <w:jc w:val="center"/>
            </w:pPr>
            <w:r>
              <w:t xml:space="preserve">               №           </w:t>
            </w:r>
          </w:p>
          <w:p w:rsidR="00CC045B" w:rsidRDefault="00CC045B" w:rsidP="00526291">
            <w:pPr>
              <w:jc w:val="center"/>
            </w:pPr>
          </w:p>
        </w:tc>
      </w:tr>
    </w:tbl>
    <w:p w:rsidR="00B22217" w:rsidRDefault="00CC045B" w:rsidP="00CC045B">
      <w:pPr>
        <w:autoSpaceDE w:val="0"/>
        <w:autoSpaceDN w:val="0"/>
        <w:adjustRightInd w:val="0"/>
      </w:pPr>
      <w:r>
        <w:t>Об</w:t>
      </w:r>
      <w:r w:rsidRPr="004364A1">
        <w:t xml:space="preserve"> </w:t>
      </w:r>
      <w:r>
        <w:t xml:space="preserve">утверждении </w:t>
      </w:r>
      <w:proofErr w:type="gramStart"/>
      <w:r>
        <w:t xml:space="preserve">Порядка </w:t>
      </w:r>
      <w:r w:rsidR="0072026C"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="0072026C"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  <w:r w:rsidR="0072026C">
        <w:t xml:space="preserve"> и (или) находящимися в их ведении казенными учреждениями</w:t>
      </w:r>
    </w:p>
    <w:p w:rsidR="0072026C" w:rsidRDefault="0072026C" w:rsidP="00CC045B">
      <w:pPr>
        <w:autoSpaceDE w:val="0"/>
        <w:autoSpaceDN w:val="0"/>
        <w:adjustRightInd w:val="0"/>
      </w:pPr>
    </w:p>
    <w:p w:rsidR="00B5424F" w:rsidRDefault="00B22217" w:rsidP="00B22217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>1</w:t>
      </w:r>
      <w:r w:rsidR="0072026C">
        <w:t>60.1</w:t>
      </w:r>
      <w:r>
        <w:t xml:space="preserve"> Бюджетного кодекса Российской Федерации, </w:t>
      </w:r>
      <w:r w:rsidR="00B5424F">
        <w:t>статьями 7,7.1,17</w:t>
      </w:r>
      <w:r w:rsidR="0072026C">
        <w:t xml:space="preserve"> Устава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</w:p>
    <w:p w:rsidR="00B5424F" w:rsidRDefault="00B5424F" w:rsidP="00B22217">
      <w:pPr>
        <w:autoSpaceDE w:val="0"/>
        <w:autoSpaceDN w:val="0"/>
        <w:adjustRightInd w:val="0"/>
        <w:ind w:firstLine="684"/>
        <w:outlineLvl w:val="0"/>
      </w:pP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  <w:r w:rsidRPr="00FF2EFB">
        <w:t>ПОСТАНОВЛЯЮ:</w:t>
      </w: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</w:p>
    <w:p w:rsidR="008D4DDB" w:rsidRDefault="00B22217" w:rsidP="00AA3963">
      <w:pPr>
        <w:spacing w:line="199" w:lineRule="atLeast"/>
        <w:ind w:firstLine="709"/>
      </w:pPr>
      <w:r>
        <w:t xml:space="preserve">1. Утвердить </w:t>
      </w:r>
      <w:hyperlink r:id="rId8" w:anchor="Par28" w:history="1">
        <w:r w:rsidR="00AA3963" w:rsidRPr="00AA3963">
          <w:rPr>
            <w:color w:val="014591"/>
          </w:rPr>
          <w:t>П</w:t>
        </w:r>
      </w:hyperlink>
      <w:r w:rsidR="00AA3963" w:rsidRPr="00197A90">
        <w:rPr>
          <w:color w:val="242424"/>
        </w:rPr>
        <w:t>орядок</w:t>
      </w:r>
      <w:r w:rsidR="00AA3963">
        <w:rPr>
          <w:color w:val="242424"/>
        </w:rPr>
        <w:t xml:space="preserve"> </w:t>
      </w:r>
      <w:r w:rsidR="0072026C">
        <w:rPr>
          <w:color w:val="242424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в их ведении казенными учреждениями, </w:t>
      </w:r>
      <w:r w:rsidR="00AA3963">
        <w:t>согласно приложению</w:t>
      </w:r>
      <w:r w:rsidR="00653FA1">
        <w:t xml:space="preserve"> </w:t>
      </w:r>
      <w:r w:rsidR="0072026C">
        <w:t>1</w:t>
      </w:r>
      <w:r w:rsidR="00653FA1">
        <w:t>.</w:t>
      </w:r>
    </w:p>
    <w:p w:rsidR="00B22217" w:rsidRPr="007F241D" w:rsidRDefault="00AA3963" w:rsidP="00AA6B98">
      <w:pPr>
        <w:spacing w:line="199" w:lineRule="atLeast"/>
        <w:ind w:firstLine="709"/>
      </w:pPr>
      <w:r>
        <w:t>2</w:t>
      </w:r>
      <w:r w:rsidR="00B22217" w:rsidRPr="007F241D">
        <w:t>. </w:t>
      </w:r>
      <w:r w:rsidR="00B22217">
        <w:t xml:space="preserve">Контроль за исполнением настоящего постановления возложить на </w:t>
      </w:r>
      <w:r w:rsidR="00487177">
        <w:t xml:space="preserve">специалиста 1 категории </w:t>
      </w:r>
      <w:proofErr w:type="gramStart"/>
      <w:r w:rsidR="00487177">
        <w:t>Деревянных</w:t>
      </w:r>
      <w:proofErr w:type="gramEnd"/>
      <w:r w:rsidR="00487177">
        <w:t xml:space="preserve"> Н.В</w:t>
      </w:r>
      <w:r w:rsidR="00AA6B98">
        <w:t>.</w:t>
      </w:r>
    </w:p>
    <w:p w:rsidR="00B22217" w:rsidRDefault="00AA3963" w:rsidP="00AA3963">
      <w:pPr>
        <w:autoSpaceDE w:val="0"/>
        <w:autoSpaceDN w:val="0"/>
        <w:adjustRightInd w:val="0"/>
        <w:ind w:firstLine="709"/>
      </w:pPr>
      <w:r>
        <w:t>3</w:t>
      </w:r>
      <w:r w:rsidR="00B22217" w:rsidRPr="007F241D">
        <w:t>. Постановление вступает в сил</w:t>
      </w:r>
      <w:r w:rsidR="00B22217">
        <w:t xml:space="preserve">у в день, следующий за днем его </w:t>
      </w:r>
      <w:r w:rsidR="00B22217" w:rsidRPr="007F241D">
        <w:t>официального опубликования</w:t>
      </w:r>
      <w:r w:rsidR="00B22217">
        <w:t xml:space="preserve"> </w:t>
      </w:r>
      <w:r w:rsidR="008D4DDB">
        <w:t xml:space="preserve">в </w:t>
      </w:r>
      <w:r w:rsidR="00487177">
        <w:t>газете «</w:t>
      </w:r>
      <w:proofErr w:type="spellStart"/>
      <w:r w:rsidR="00487177">
        <w:t>Манзенский</w:t>
      </w:r>
      <w:proofErr w:type="spellEnd"/>
      <w:r w:rsidR="00883E2F">
        <w:t xml:space="preserve"> вестник»</w:t>
      </w:r>
    </w:p>
    <w:p w:rsidR="00B22217" w:rsidRPr="007F241D" w:rsidRDefault="00B22217" w:rsidP="00B22217">
      <w:pPr>
        <w:autoSpaceDE w:val="0"/>
        <w:autoSpaceDN w:val="0"/>
        <w:adjustRightInd w:val="0"/>
        <w:ind w:firstLine="706"/>
      </w:pPr>
    </w:p>
    <w:p w:rsidR="00B22217" w:rsidRDefault="00B22217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A05923" w:rsidRPr="007F241D" w:rsidRDefault="00A05923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B22217" w:rsidRDefault="00487177" w:rsidP="00B22217">
      <w:pPr>
        <w:autoSpaceDE w:val="0"/>
        <w:autoSpaceDN w:val="0"/>
        <w:adjustRightInd w:val="0"/>
      </w:pPr>
      <w:r>
        <w:t xml:space="preserve">и.о. главы </w:t>
      </w:r>
      <w:proofErr w:type="spellStart"/>
      <w:r>
        <w:t>Манзенского</w:t>
      </w:r>
      <w:proofErr w:type="spellEnd"/>
      <w:r w:rsidR="00883E2F">
        <w:t xml:space="preserve"> сельсовета</w:t>
      </w:r>
      <w:r w:rsidR="00B22217" w:rsidRPr="00442BEA">
        <w:tab/>
      </w:r>
      <w:r w:rsidR="00B22217" w:rsidRPr="00442BEA">
        <w:tab/>
      </w:r>
      <w:r w:rsidR="00883E2F">
        <w:t xml:space="preserve">                 </w:t>
      </w:r>
      <w:r>
        <w:t xml:space="preserve">          </w:t>
      </w:r>
      <w:proofErr w:type="gramStart"/>
      <w:r>
        <w:t>Безруких</w:t>
      </w:r>
      <w:proofErr w:type="gramEnd"/>
      <w:r>
        <w:t xml:space="preserve"> Е.Н</w:t>
      </w:r>
    </w:p>
    <w:p w:rsidR="00B90C52" w:rsidRDefault="00B90C52" w:rsidP="00B22217">
      <w:pPr>
        <w:autoSpaceDE w:val="0"/>
        <w:autoSpaceDN w:val="0"/>
        <w:adjustRightInd w:val="0"/>
      </w:pPr>
    </w:p>
    <w:p w:rsidR="00B90C52" w:rsidRDefault="00B90C52" w:rsidP="00B22217">
      <w:pPr>
        <w:autoSpaceDE w:val="0"/>
        <w:autoSpaceDN w:val="0"/>
        <w:adjustRightInd w:val="0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AA6B98" w:rsidRDefault="00C955A5" w:rsidP="00C955A5">
      <w:pPr>
        <w:autoSpaceDE w:val="0"/>
        <w:autoSpaceDN w:val="0"/>
        <w:adjustRightInd w:val="0"/>
        <w:ind w:firstLine="8789"/>
        <w:jc w:val="right"/>
      </w:pPr>
      <w:r>
        <w:t xml:space="preserve"> </w:t>
      </w: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E16823" w:rsidRDefault="00E16823" w:rsidP="00AA6B98">
      <w:pPr>
        <w:autoSpaceDE w:val="0"/>
        <w:autoSpaceDN w:val="0"/>
        <w:adjustRightInd w:val="0"/>
        <w:ind w:firstLine="7655"/>
        <w:jc w:val="right"/>
      </w:pPr>
    </w:p>
    <w:p w:rsidR="00B90C52" w:rsidRDefault="00B90C52" w:rsidP="00AA6B98">
      <w:pPr>
        <w:autoSpaceDE w:val="0"/>
        <w:autoSpaceDN w:val="0"/>
        <w:adjustRightInd w:val="0"/>
        <w:ind w:firstLine="7655"/>
        <w:jc w:val="right"/>
      </w:pPr>
      <w:bookmarkStart w:id="0" w:name="_GoBack"/>
      <w:bookmarkEnd w:id="0"/>
      <w:r>
        <w:t>Приложение 1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от ________________№________</w:t>
      </w:r>
    </w:p>
    <w:p w:rsidR="00B90C52" w:rsidRDefault="00B90C52" w:rsidP="00B90C52">
      <w:pPr>
        <w:autoSpaceDE w:val="0"/>
        <w:autoSpaceDN w:val="0"/>
        <w:adjustRightInd w:val="0"/>
        <w:jc w:val="right"/>
      </w:pPr>
    </w:p>
    <w:p w:rsidR="00B90C52" w:rsidRDefault="00B90C52" w:rsidP="00B90C52">
      <w:pPr>
        <w:autoSpaceDE w:val="0"/>
        <w:autoSpaceDN w:val="0"/>
        <w:adjustRightInd w:val="0"/>
        <w:jc w:val="center"/>
      </w:pPr>
      <w:r>
        <w:t>Порядок</w:t>
      </w:r>
    </w:p>
    <w:p w:rsidR="00B90C52" w:rsidRDefault="00B90C52" w:rsidP="00B90C52">
      <w:pPr>
        <w:autoSpaceDE w:val="0"/>
        <w:autoSpaceDN w:val="0"/>
        <w:adjustRightInd w:val="0"/>
      </w:pPr>
      <w:r>
        <w:t xml:space="preserve">осуществления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AA6B98" w:rsidRPr="00AA6B98">
        <w:t xml:space="preserve"> сельсовета</w:t>
      </w:r>
      <w:r w:rsidR="00AA6B98" w:rsidRPr="00780EE2">
        <w:rPr>
          <w:sz w:val="24"/>
          <w:szCs w:val="24"/>
        </w:rPr>
        <w:t xml:space="preserve"> </w:t>
      </w:r>
      <w:r>
        <w:t>и (или) находящимися в их  ведении казенного учреждениями</w:t>
      </w:r>
    </w:p>
    <w:p w:rsidR="00E70EE8" w:rsidRDefault="00E70EE8" w:rsidP="00B22217">
      <w:pPr>
        <w:autoSpaceDE w:val="0"/>
        <w:autoSpaceDN w:val="0"/>
        <w:adjustRightInd w:val="0"/>
      </w:pPr>
    </w:p>
    <w:p w:rsidR="00B90C52" w:rsidRDefault="00B90C52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 xml:space="preserve">Настоящий Порядок </w:t>
      </w:r>
      <w:proofErr w:type="gramStart"/>
      <w:r>
        <w:t>осуществлен</w:t>
      </w:r>
      <w:r w:rsidR="00E86E9F">
        <w:t xml:space="preserve">ия бюджетных полномочий главных </w:t>
      </w:r>
      <w:r>
        <w:t>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AA6B98" w:rsidRPr="00AA6B98">
        <w:t xml:space="preserve"> сельсовета</w:t>
      </w:r>
      <w:r w:rsidR="00AA6B98" w:rsidRPr="00780EE2">
        <w:rPr>
          <w:sz w:val="24"/>
          <w:szCs w:val="24"/>
        </w:rPr>
        <w:t xml:space="preserve"> </w:t>
      </w:r>
      <w:r>
        <w:t>и (или) находящимися в их ведении казенными учреждениями (далее – Порядок, Главные а</w:t>
      </w:r>
      <w:r w:rsidR="00E86E9F">
        <w:t xml:space="preserve">дминистраторы), разработан в соответствии со статьей 160.1 Бюджетного кодекса Российской Федерации, </w:t>
      </w:r>
      <w:r w:rsidR="00BD24C6">
        <w:t xml:space="preserve">32/120 от 07.02.2020 «О бюджетном процессе </w:t>
      </w:r>
      <w:r w:rsidR="00E86E9F">
        <w:t xml:space="preserve"> </w:t>
      </w:r>
      <w:proofErr w:type="spellStart"/>
      <w:r w:rsidR="00E27785">
        <w:t>Манзенского</w:t>
      </w:r>
      <w:proofErr w:type="spellEnd"/>
      <w:r w:rsidR="00AA6B98">
        <w:t xml:space="preserve"> Сельсовета</w:t>
      </w:r>
      <w:r w:rsidR="00E86E9F">
        <w:t>».</w:t>
      </w:r>
    </w:p>
    <w:p w:rsidR="00E86E9F" w:rsidRDefault="006E602E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>В процессе осуществления бюджетных полномочий Главные администраторы:</w:t>
      </w:r>
    </w:p>
    <w:p w:rsidR="006E602E" w:rsidRP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A6057C" w:rsidRPr="00A6057C" w:rsidRDefault="00A6057C" w:rsidP="00A60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57C">
        <w:rPr>
          <w:rFonts w:ascii="Times New Roman" w:hAnsi="Times New Roman" w:cs="Times New Roman"/>
          <w:sz w:val="28"/>
          <w:szCs w:val="28"/>
        </w:rPr>
        <w:t xml:space="preserve">в случае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A6057C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E2BB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органами исполнительной власти </w:t>
      </w:r>
      <w:proofErr w:type="spellStart"/>
      <w:r w:rsidR="00487177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7C">
        <w:rPr>
          <w:rFonts w:ascii="Times New Roman" w:hAnsi="Times New Roman" w:cs="Times New Roman"/>
          <w:sz w:val="28"/>
          <w:szCs w:val="28"/>
        </w:rPr>
        <w:t xml:space="preserve">принимают правовые акты, устанавливающие перечень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proofErr w:type="spellStart"/>
      <w:r w:rsidR="00487177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057C">
        <w:rPr>
          <w:rFonts w:ascii="Times New Roman" w:hAnsi="Times New Roman" w:cs="Times New Roman"/>
          <w:sz w:val="28"/>
          <w:szCs w:val="28"/>
        </w:rPr>
        <w:t xml:space="preserve">, являющихся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E2BB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перечень администрируемых доходов </w:t>
      </w:r>
      <w:r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а также порядок осуществления ими бюджетных полномочий администратора доходов </w:t>
      </w:r>
      <w:r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и доводят их до соответствующих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05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02E" w:rsidRDefault="009D0CDE" w:rsidP="009D0CDE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>б</w:t>
      </w:r>
      <w:r w:rsidR="006E602E" w:rsidRPr="009D0CDE">
        <w:rPr>
          <w:rFonts w:ascii="Times New Roman" w:hAnsi="Times New Roman" w:cs="Times New Roman"/>
          <w:sz w:val="28"/>
          <w:szCs w:val="28"/>
        </w:rPr>
        <w:t>) формируют и представляют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E3C85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6E602E" w:rsidRPr="009D0CDE">
        <w:rPr>
          <w:rFonts w:ascii="Times New Roman" w:hAnsi="Times New Roman" w:cs="Times New Roman"/>
          <w:sz w:val="28"/>
          <w:szCs w:val="28"/>
        </w:rPr>
        <w:t>следующие документы по администрируемым доходам</w:t>
      </w:r>
      <w:r w:rsidR="006E602E">
        <w:t>: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 w:rsidR="00BE0C9F" w:rsidRPr="00BE0C9F">
        <w:rPr>
          <w:rFonts w:ascii="Times New Roman" w:hAnsi="Times New Roman" w:cs="Times New Roman"/>
          <w:sz w:val="28"/>
          <w:szCs w:val="28"/>
        </w:rPr>
        <w:t>районного</w:t>
      </w:r>
      <w:r w:rsidR="00BE0C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E0C9F"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lastRenderedPageBreak/>
        <w:t>прогноз поступления доходов в сроки, установленные нормативными правовыми актами по форме</w:t>
      </w:r>
      <w:r w:rsidR="00BE0C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B12">
        <w:rPr>
          <w:rFonts w:ascii="Times New Roman" w:hAnsi="Times New Roman" w:cs="Times New Roman"/>
          <w:sz w:val="28"/>
          <w:szCs w:val="28"/>
        </w:rPr>
        <w:t>1</w:t>
      </w:r>
      <w:r w:rsidR="00BE0C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Default="006E602E" w:rsidP="009D0CDE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</w:t>
      </w:r>
      <w:r w:rsidR="007A5A6D"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 w:rsidR="007A5A6D"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 w:rsidR="00BE0C9F"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8E03DC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02E" w:rsidRPr="008E03DC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финансовым </w:t>
      </w:r>
      <w:r w:rsidRPr="008E03DC">
        <w:rPr>
          <w:rFonts w:ascii="Times New Roman" w:hAnsi="Times New Roman" w:cs="Times New Roman"/>
          <w:sz w:val="28"/>
          <w:szCs w:val="28"/>
        </w:rPr>
        <w:t xml:space="preserve">управлением администрации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9D760A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7A5A6D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02E" w:rsidRPr="008E03DC">
        <w:rPr>
          <w:rFonts w:ascii="Times New Roman" w:hAnsi="Times New Roman" w:cs="Times New Roman"/>
          <w:sz w:val="28"/>
          <w:szCs w:val="28"/>
        </w:rPr>
        <w:t>)</w:t>
      </w:r>
      <w:r w:rsidR="008E03DC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д</w:t>
      </w:r>
      <w:r w:rsidR="006E602E"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е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в </w:t>
      </w:r>
      <w:hyperlink w:anchor="P65">
        <w:r w:rsidR="006E602E" w:rsidRPr="007A5A6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6E602E" w:rsidRPr="007A5A6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E602E" w:rsidRPr="000B1AFC" w:rsidRDefault="000B1AFC" w:rsidP="000B1AF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FC">
        <w:rPr>
          <w:rFonts w:ascii="Times New Roman" w:hAnsi="Times New Roman" w:cs="Times New Roman"/>
          <w:sz w:val="28"/>
          <w:szCs w:val="28"/>
        </w:rPr>
        <w:t>з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 w:rsidRPr="000B1AFC">
        <w:rPr>
          <w:rFonts w:ascii="Times New Roman" w:hAnsi="Times New Roman" w:cs="Times New Roman"/>
          <w:sz w:val="28"/>
          <w:szCs w:val="28"/>
        </w:rPr>
        <w:t>финансовым управлением администраци</w:t>
      </w:r>
      <w:r w:rsidR="009D760A">
        <w:rPr>
          <w:rFonts w:ascii="Times New Roman" w:hAnsi="Times New Roman" w:cs="Times New Roman"/>
          <w:sz w:val="28"/>
          <w:szCs w:val="28"/>
        </w:rPr>
        <w:t>я</w:t>
      </w:r>
      <w:r w:rsidRPr="000B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9D760A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760A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6E602E" w:rsidRPr="000B1AFC">
        <w:rPr>
          <w:rFonts w:ascii="Times New Roman" w:hAnsi="Times New Roman" w:cs="Times New Roman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="006E602E" w:rsidRPr="000B1AFC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6E602E" w:rsidRPr="00555467" w:rsidRDefault="006E602E" w:rsidP="00555467">
      <w:pPr>
        <w:pStyle w:val="ConsPlusNormal"/>
        <w:spacing w:before="22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555467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Pr="00555467">
        <w:rPr>
          <w:rFonts w:ascii="Times New Roman" w:hAnsi="Times New Roman" w:cs="Times New Roman"/>
          <w:sz w:val="28"/>
          <w:szCs w:val="28"/>
        </w:rPr>
        <w:t xml:space="preserve"> Порядка, должны содержать: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б) требование об установлении Администраторами порядка обмена </w:t>
      </w:r>
      <w:r w:rsidRPr="00555467">
        <w:rPr>
          <w:rFonts w:ascii="Times New Roman" w:hAnsi="Times New Roman" w:cs="Times New Roman"/>
          <w:sz w:val="28"/>
          <w:szCs w:val="28"/>
        </w:rPr>
        <w:lastRenderedPageBreak/>
        <w:t>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555467" w:rsidRDefault="00555467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</w:t>
      </w:r>
      <w:r w:rsidR="006E602E" w:rsidRPr="00555467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д) иные положения, необходимые для реализации полномочий администратора доходов бюджетов.</w:t>
      </w:r>
    </w:p>
    <w:p w:rsidR="006E602E" w:rsidRPr="00555467" w:rsidRDefault="006E602E" w:rsidP="00555467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6E602E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555467" w:rsidRDefault="00C274AD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</w:p>
    <w:p w:rsidR="006E602E" w:rsidRPr="00C274AD" w:rsidRDefault="006E602E" w:rsidP="00C274A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Default="006E602E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274AD" w:rsidRPr="00C274AD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C274AD" w:rsidRPr="00C274A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C274AD" w:rsidRPr="00C274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F95AB0">
      <w:pPr>
        <w:widowControl w:val="0"/>
        <w:shd w:val="clear" w:color="auto" w:fill="FFFFFF"/>
        <w:suppressAutoHyphens/>
        <w:ind w:right="60"/>
        <w:jc w:val="center"/>
        <w:sectPr w:rsidR="00BE2BB9" w:rsidSect="00BE2BB9">
          <w:headerReference w:type="even" r:id="rId9"/>
          <w:headerReference w:type="default" r:id="rId10"/>
          <w:footerReference w:type="even" r:id="rId11"/>
          <w:headerReference w:type="first" r:id="rId12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E2BB9" w:rsidRDefault="00BE2BB9" w:rsidP="00C955A5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 xml:space="preserve">к Порядку осуществления бюджетных полномочий 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>главных администраторов доходов бюджетов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бюджетной системы Российской Федерации,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являющихся</w:t>
      </w:r>
      <w:proofErr w:type="gramEnd"/>
      <w:r>
        <w:rPr>
          <w:sz w:val="24"/>
          <w:szCs w:val="24"/>
        </w:rPr>
        <w:t xml:space="preserve"> органами местного самоуправления</w:t>
      </w:r>
    </w:p>
    <w:p w:rsidR="00C955A5" w:rsidRDefault="00EE51C6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Манзенского</w:t>
      </w:r>
      <w:proofErr w:type="spellEnd"/>
      <w:r w:rsidR="00883E2F">
        <w:rPr>
          <w:sz w:val="24"/>
          <w:szCs w:val="24"/>
        </w:rPr>
        <w:t xml:space="preserve"> сельсовета</w:t>
      </w:r>
      <w:r w:rsidR="00BE2BB9">
        <w:rPr>
          <w:sz w:val="24"/>
          <w:szCs w:val="24"/>
        </w:rPr>
        <w:t xml:space="preserve"> и (или) </w:t>
      </w:r>
      <w:proofErr w:type="gramStart"/>
      <w:r w:rsidR="00BE2BB9">
        <w:rPr>
          <w:sz w:val="24"/>
          <w:szCs w:val="24"/>
        </w:rPr>
        <w:t>находящихся</w:t>
      </w:r>
      <w:proofErr w:type="gramEnd"/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их ведении казенными учреждениями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ПРОГНО</w:t>
      </w:r>
      <w:r w:rsidR="00EE51C6">
        <w:rPr>
          <w:sz w:val="24"/>
          <w:szCs w:val="24"/>
        </w:rPr>
        <w:t xml:space="preserve">З ПОСТУПЛЕНИЙ ДОХОДОВ В МЕСТНЫЙ </w:t>
      </w:r>
      <w:r>
        <w:rPr>
          <w:sz w:val="24"/>
          <w:szCs w:val="24"/>
        </w:rPr>
        <w:t xml:space="preserve"> БЮДЖЕТ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_____________________________ГОДЫ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>очередной и плановый период)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BE2BB9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тыс.рублей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714"/>
        <w:gridCol w:w="783"/>
        <w:gridCol w:w="1519"/>
        <w:gridCol w:w="1528"/>
        <w:gridCol w:w="1465"/>
        <w:gridCol w:w="1452"/>
        <w:gridCol w:w="769"/>
        <w:gridCol w:w="767"/>
      </w:tblGrid>
      <w:tr w:rsidR="008F2B12" w:rsidTr="008F2B12"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(+;-)</w:t>
            </w:r>
          </w:p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8F2B12" w:rsidTr="008F2B12">
        <w:trPr>
          <w:trHeight w:val="269"/>
        </w:trPr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8F2B12" w:rsidTr="008F2B12"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8F2B12" w:rsidRP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3C2315" w:rsidRPr="003C2315" w:rsidRDefault="003C2315" w:rsidP="007D1330">
      <w:pPr>
        <w:widowControl w:val="0"/>
        <w:shd w:val="clear" w:color="auto" w:fill="FFFFFF"/>
        <w:suppressAutoHyphens/>
        <w:ind w:left="7088" w:right="848" w:hanging="6380"/>
        <w:jc w:val="left"/>
      </w:pPr>
      <w:r>
        <w:t xml:space="preserve">                                                                                                                                            </w:t>
      </w:r>
    </w:p>
    <w:sectPr w:rsidR="003C2315" w:rsidRPr="003C2315" w:rsidSect="003C2315"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6A" w:rsidRDefault="0066366A" w:rsidP="00E70EE8">
      <w:r>
        <w:separator/>
      </w:r>
    </w:p>
  </w:endnote>
  <w:endnote w:type="continuationSeparator" w:id="0">
    <w:p w:rsidR="0066366A" w:rsidRDefault="0066366A" w:rsidP="00E7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1F5B61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 w:rsidP="005262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6A" w:rsidRDefault="0066366A" w:rsidP="00E70EE8">
      <w:r>
        <w:separator/>
      </w:r>
    </w:p>
  </w:footnote>
  <w:footnote w:type="continuationSeparator" w:id="0">
    <w:p w:rsidR="0066366A" w:rsidRDefault="0066366A" w:rsidP="00E7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1F5B61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1F5B61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24C6">
      <w:rPr>
        <w:rStyle w:val="a9"/>
        <w:noProof/>
      </w:rPr>
      <w:t>2</w: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Pr="001B5F74" w:rsidRDefault="008D4DDB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8D4DDB" w:rsidRPr="00715764" w:rsidRDefault="008D4DDB" w:rsidP="005262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C045B"/>
    <w:rsid w:val="000817BE"/>
    <w:rsid w:val="000B1AFC"/>
    <w:rsid w:val="000D6993"/>
    <w:rsid w:val="001230B8"/>
    <w:rsid w:val="00157503"/>
    <w:rsid w:val="001D1E15"/>
    <w:rsid w:val="001F5B61"/>
    <w:rsid w:val="002266FA"/>
    <w:rsid w:val="00286DD3"/>
    <w:rsid w:val="002D5930"/>
    <w:rsid w:val="002E3C85"/>
    <w:rsid w:val="003046CA"/>
    <w:rsid w:val="003729CC"/>
    <w:rsid w:val="003A7C26"/>
    <w:rsid w:val="003C2315"/>
    <w:rsid w:val="00410F24"/>
    <w:rsid w:val="00465D11"/>
    <w:rsid w:val="00487177"/>
    <w:rsid w:val="004D0826"/>
    <w:rsid w:val="00513A63"/>
    <w:rsid w:val="00526291"/>
    <w:rsid w:val="00530459"/>
    <w:rsid w:val="00541B8A"/>
    <w:rsid w:val="00544DA1"/>
    <w:rsid w:val="00555467"/>
    <w:rsid w:val="0056251B"/>
    <w:rsid w:val="00565708"/>
    <w:rsid w:val="00573C1E"/>
    <w:rsid w:val="00587845"/>
    <w:rsid w:val="00600388"/>
    <w:rsid w:val="006134A7"/>
    <w:rsid w:val="00653FA1"/>
    <w:rsid w:val="0066366A"/>
    <w:rsid w:val="00682FD8"/>
    <w:rsid w:val="006B4746"/>
    <w:rsid w:val="006C7A89"/>
    <w:rsid w:val="006E602E"/>
    <w:rsid w:val="0072026C"/>
    <w:rsid w:val="0072617A"/>
    <w:rsid w:val="00760708"/>
    <w:rsid w:val="0078313E"/>
    <w:rsid w:val="007A5A6D"/>
    <w:rsid w:val="007D1330"/>
    <w:rsid w:val="00821581"/>
    <w:rsid w:val="00883E2F"/>
    <w:rsid w:val="00892FE1"/>
    <w:rsid w:val="00894AFA"/>
    <w:rsid w:val="008C66A2"/>
    <w:rsid w:val="008D4DDB"/>
    <w:rsid w:val="008E03DC"/>
    <w:rsid w:val="008E0831"/>
    <w:rsid w:val="008F2B12"/>
    <w:rsid w:val="00905B41"/>
    <w:rsid w:val="00966E89"/>
    <w:rsid w:val="009A452A"/>
    <w:rsid w:val="009C2897"/>
    <w:rsid w:val="009D0CDE"/>
    <w:rsid w:val="009D760A"/>
    <w:rsid w:val="00A05923"/>
    <w:rsid w:val="00A37E35"/>
    <w:rsid w:val="00A4131B"/>
    <w:rsid w:val="00A6057C"/>
    <w:rsid w:val="00A73092"/>
    <w:rsid w:val="00AA3963"/>
    <w:rsid w:val="00AA6B98"/>
    <w:rsid w:val="00AF4916"/>
    <w:rsid w:val="00AF6DC3"/>
    <w:rsid w:val="00B22217"/>
    <w:rsid w:val="00B3034C"/>
    <w:rsid w:val="00B455CE"/>
    <w:rsid w:val="00B5424F"/>
    <w:rsid w:val="00B90C52"/>
    <w:rsid w:val="00BA21A3"/>
    <w:rsid w:val="00BD24C6"/>
    <w:rsid w:val="00BE0C9F"/>
    <w:rsid w:val="00BE2BB9"/>
    <w:rsid w:val="00C274AD"/>
    <w:rsid w:val="00C402AC"/>
    <w:rsid w:val="00C45208"/>
    <w:rsid w:val="00C91A59"/>
    <w:rsid w:val="00C955A5"/>
    <w:rsid w:val="00CC045B"/>
    <w:rsid w:val="00CD79B5"/>
    <w:rsid w:val="00CF6B09"/>
    <w:rsid w:val="00D549C0"/>
    <w:rsid w:val="00D70724"/>
    <w:rsid w:val="00E16823"/>
    <w:rsid w:val="00E27785"/>
    <w:rsid w:val="00E70EE8"/>
    <w:rsid w:val="00E84ADC"/>
    <w:rsid w:val="00E86626"/>
    <w:rsid w:val="00E86E9F"/>
    <w:rsid w:val="00E97EE8"/>
    <w:rsid w:val="00EA5DAB"/>
    <w:rsid w:val="00ED410C"/>
    <w:rsid w:val="00EE51C6"/>
    <w:rsid w:val="00EF7EB7"/>
    <w:rsid w:val="00F42424"/>
    <w:rsid w:val="00F60D37"/>
    <w:rsid w:val="00F94810"/>
    <w:rsid w:val="00F95AB0"/>
    <w:rsid w:val="00FA36E9"/>
    <w:rsid w:val="00FC02F2"/>
    <w:rsid w:val="00F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883F-FFB5-4F21-A5C4-396E68F1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Admin</cp:lastModifiedBy>
  <cp:revision>11</cp:revision>
  <cp:lastPrinted>2023-10-23T07:50:00Z</cp:lastPrinted>
  <dcterms:created xsi:type="dcterms:W3CDTF">2023-10-06T09:18:00Z</dcterms:created>
  <dcterms:modified xsi:type="dcterms:W3CDTF">2023-10-23T07:52:00Z</dcterms:modified>
</cp:coreProperties>
</file>